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60"/>
      </w:pPr>
      <w:r>
        <w:rPr>
          <w:rFonts w:ascii="Calibri" w:hAnsi="Calibri" w:eastAsia="Microsoft YaHei" w:cs="Calibri"/>
          <w:b/>
          <w:color w:val="2E74B5"/>
          <w:sz w:val="20"/>
        </w:rPr>
        <w:t>税务发票数据开放平台</w:t>
      </w:r>
    </w:p>
    <w:p>
      <w:pPr>
        <w:keepNext/>
        <w:spacing w:before="0" w:after="60"/>
      </w:pPr>
      <w:r>
        <w:rPr>
          <w:rFonts w:ascii="Calibri" w:hAnsi="Calibri" w:eastAsia="Microsoft YaHei" w:cs="Calibri"/>
          <w:b/>
          <w:color w:val="12233F"/>
          <w:sz w:val="48"/>
        </w:rPr>
        <w:t>客户接口文档（正式版）</w:t>
      </w:r>
    </w:p>
    <w:p>
      <w:pPr>
        <w:spacing w:before="0" w:after="140"/>
      </w:pPr>
      <w:r>
        <w:rPr>
          <w:rFonts w:ascii="Calibri" w:hAnsi="Calibri" w:eastAsia="Microsoft YaHei" w:cs="Calibri"/>
          <w:color w:val="64748B"/>
          <w:sz w:val="20"/>
        </w:rPr>
        <w:t>版本 1.5.3  |  客户接口 17 条  |  发布日期 2026-08-23</w:t>
      </w: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8"/>
        </w:rPr>
        <w:t xml:space="preserve">用途  </w:t>
      </w:r>
      <w:r>
        <w:rPr>
          <w:rFonts w:ascii="Calibri" w:hAnsi="Calibri" w:eastAsia="Microsoft YaHei" w:cs="Calibri"/>
          <w:color w:val="24324A"/>
          <w:sz w:val="18"/>
        </w:rPr>
        <w:t>用于客户研发快速接入；本交付包同时提供同版本 OpenAPI、字段总表和可运行示例。生产环境不公开 Swagger。</w:t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1. 接入说明</w:t>
      </w:r>
    </w:p>
    <w:p>
      <w:pPr>
        <w:numPr>
          <w:ilvl w:val="0"/>
          <w:numId w:val="16"/>
        </w:numPr>
        <w:keepLines/>
        <w:spacing w:before="0" w:after="40" w:line="259" w:lineRule="auto"/>
      </w:pPr>
      <w:r>
        <w:rPr>
          <w:rFonts w:ascii="Calibri" w:hAnsi="Calibri" w:eastAsia="Microsoft YaHei" w:cs="Calibri"/>
          <w:color w:val="24324A"/>
          <w:sz w:val="19"/>
        </w:rPr>
        <w:t>客户服务端使用测试环境 Key 创建授权链接，前端直接打开返回的 authorization_url。</w:t>
      </w:r>
    </w:p>
    <w:p>
      <w:pPr>
        <w:numPr>
          <w:ilvl w:val="0"/>
          <w:numId w:val="16"/>
        </w:numPr>
        <w:keepLines/>
        <w:spacing w:before="0" w:after="40" w:line="259" w:lineRule="auto"/>
      </w:pPr>
      <w:r>
        <w:rPr>
          <w:rFonts w:ascii="Calibri" w:hAnsi="Calibri" w:eastAsia="Microsoft YaHei" w:cs="Calibri"/>
          <w:color w:val="24324A"/>
          <w:sz w:val="19"/>
        </w:rPr>
        <w:t>企业用户在平台授权页完成税局登录、验证和授权。</w:t>
      </w:r>
    </w:p>
    <w:p>
      <w:pPr>
        <w:numPr>
          <w:ilvl w:val="0"/>
          <w:numId w:val="16"/>
        </w:numPr>
        <w:keepLines/>
        <w:spacing w:before="0" w:after="40" w:line="259" w:lineRule="auto"/>
      </w:pPr>
      <w:r>
        <w:rPr>
          <w:rFonts w:ascii="Calibri" w:hAnsi="Calibri" w:eastAsia="Microsoft YaHei" w:cs="Calibri"/>
          <w:color w:val="24324A"/>
          <w:sz w:val="19"/>
        </w:rPr>
        <w:t>客户接收最终回调；未收到时，每 15-30 秒查询订单或产品状态。</w:t>
      </w:r>
    </w:p>
    <w:p>
      <w:pPr>
        <w:numPr>
          <w:ilvl w:val="0"/>
          <w:numId w:val="16"/>
        </w:numPr>
        <w:keepLines/>
        <w:spacing w:before="0" w:after="40" w:line="259" w:lineRule="auto"/>
      </w:pPr>
      <w:r>
        <w:rPr>
          <w:rFonts w:ascii="Calibri" w:hAnsi="Calibri" w:eastAsia="Microsoft YaHei" w:cs="Calibri"/>
          <w:color w:val="24324A"/>
          <w:sz w:val="19"/>
        </w:rPr>
        <w:t>获取具体产品前，确认该产品 state=SUCCEEDED 且 available=true，再调用对应数据接口。</w:t>
      </w:r>
    </w:p>
    <w:p>
      <w:pPr>
        <w:keepLines/>
        <w:spacing w:before="40" w:after="80" w:line="259" w:lineRule="auto"/>
        <w:ind w:left="144" w:right="86"/>
        <w:shd w:fill="FDECEC" w:val="clear"/>
        <w:pBdr>
          <w:left w:val="single" w:sz="24" w:space="8" w:color="9B1C1C"/>
        </w:pBdr>
      </w:pPr>
      <w:r>
        <w:rPr>
          <w:rFonts w:ascii="Calibri" w:hAnsi="Calibri" w:eastAsia="Microsoft YaHei" w:cs="Calibri"/>
          <w:b/>
          <w:color w:val="9B1C1C"/>
          <w:sz w:val="18"/>
        </w:rPr>
        <w:t xml:space="preserve">重要说明  </w:t>
      </w:r>
      <w:r>
        <w:rPr>
          <w:rFonts w:ascii="Calibri" w:hAnsi="Calibri" w:eastAsia="Microsoft YaHei" w:cs="Calibri"/>
          <w:color w:val="24324A"/>
          <w:sz w:val="18"/>
        </w:rPr>
        <w:t>authorization.completed 只表示授权阶段成功，不表示数据已经可取。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2. 环境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050"/>
        <w:gridCol w:w="4200"/>
        <w:gridCol w:w="4110"/>
      </w:tblGrid>
      <w:tr>
        <w:trPr>
          <w:tblHeader w:val="true"/>
          <w:cantSplit/>
        </w:trPr>
        <w:tc>
          <w:tcPr>
            <w:tcW w:type="dxa" w:w="10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环境</w:t>
            </w:r>
          </w:p>
        </w:tc>
        <w:tc>
          <w:tcPr>
            <w:tcW w:type="dxa" w:w="42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BASE_URL</w:t>
            </w:r>
          </w:p>
        </w:tc>
        <w:tc>
          <w:tcPr>
            <w:tcW w:type="dxa" w:w="411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授权页</w:t>
            </w:r>
          </w:p>
        </w:tc>
      </w:tr>
      <w:tr>
        <w:trPr>
          <w:cantSplit/>
        </w:trPr>
        <w:tc>
          <w:tcPr>
            <w:tcW w:type="dxa" w:w="10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测试</w:t>
            </w:r>
          </w:p>
        </w:tc>
        <w:tc>
          <w:tcPr>
            <w:tcW w:type="dxa" w:w="42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https://rpa-test-api.xiaowu005.xyz</w:t>
            </w:r>
          </w:p>
        </w:tc>
        <w:tc>
          <w:tcPr>
            <w:tcW w:type="dxa" w:w="411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使用接口返回的 authorization_url</w:t>
            </w:r>
          </w:p>
        </w:tc>
      </w:tr>
      <w:tr>
        <w:trPr>
          <w:cantSplit/>
        </w:trPr>
        <w:tc>
          <w:tcPr>
            <w:tcW w:type="dxa" w:w="10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生产</w:t>
            </w:r>
          </w:p>
        </w:tc>
        <w:tc>
          <w:tcPr>
            <w:tcW w:type="dxa" w:w="42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https://rpa-api.xiaowu005.xyz</w:t>
            </w:r>
          </w:p>
        </w:tc>
        <w:tc>
          <w:tcPr>
            <w:tcW w:type="dxa" w:w="411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使用接口返回的 authorization_url</w:t>
            </w:r>
          </w:p>
        </w:tc>
      </w:tr>
    </w:tbl>
    <w:p>
      <w:pPr>
        <w:spacing w:before="0" w:after="40"/>
      </w:pPr>
    </w:p>
    <w:p>
      <w:pPr>
        <w:keepLines/>
        <w:spacing w:before="40" w:after="80" w:line="259" w:lineRule="auto"/>
        <w:ind w:left="144" w:right="86"/>
        <w:shd w:fill="FFF7E6" w:val="clear"/>
        <w:pBdr>
          <w:left w:val="single" w:sz="24" w:space="8" w:color="8A5A00"/>
        </w:pBdr>
      </w:pPr>
      <w:r>
        <w:rPr>
          <w:rFonts w:ascii="Calibri" w:hAnsi="Calibri" w:eastAsia="Microsoft YaHei" w:cs="Calibri"/>
          <w:b/>
          <w:color w:val="8A5A00"/>
          <w:sz w:val="18"/>
        </w:rPr>
        <w:t xml:space="preserve">环境隔离  </w:t>
      </w:r>
      <w:r>
        <w:rPr>
          <w:rFonts w:ascii="Calibri" w:hAnsi="Calibri" w:eastAsia="Microsoft YaHei" w:cs="Calibri"/>
          <w:color w:val="24324A"/>
          <w:sz w:val="18"/>
        </w:rPr>
        <w:t>测试与生产的域名、API Key、Callback Secret、订单和数据完全隔离。凭据只保存在客户服务端；切换生产时同时更换域名与凭据。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2. 接口范围与清单</w:t>
      </w:r>
    </w:p>
    <w:p>
      <w:pPr>
        <w:spacing w:before="0" w:after="60" w:line="269" w:lineRule="auto"/>
      </w:pPr>
      <w:r>
        <w:rPr>
          <w:rFonts w:ascii="Calibri" w:hAnsi="Calibri" w:eastAsia="Microsoft YaHei" w:cs="Calibri"/>
          <w:color w:val="24324A"/>
          <w:sz w:val="17"/>
        </w:rPr>
        <w:t>本文件定义客户系统可直接调用的全部 17 个接口。授权页面内部使用的提交、验证码和取消接口由平台页面自行调用；管理、计费及 Worker 管理接口不属于客户接入范围。接口路径区分大小写。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650"/>
        <w:gridCol w:w="720"/>
        <w:gridCol w:w="6040"/>
        <w:gridCol w:w="1950"/>
      </w:tblGrid>
      <w:tr>
        <w:trPr>
          <w:tblHeader w:val="true"/>
          <w:cantSplit/>
        </w:trPr>
        <w:tc>
          <w:tcPr>
            <w:tcW w:type="dxa" w:w="6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编号</w:t>
            </w:r>
          </w:p>
        </w:tc>
        <w:tc>
          <w:tcPr>
            <w:tcW w:type="dxa" w:w="72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方法</w:t>
            </w:r>
          </w:p>
        </w:tc>
        <w:tc>
          <w:tcPr>
            <w:tcW w:type="dxa" w:w="604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完整路径</w:t>
            </w:r>
          </w:p>
        </w:tc>
        <w:tc>
          <w:tcPr>
            <w:tcW w:type="dxa" w:w="19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用途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A1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/api/v1/channel/authorization-links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创建授权链接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A2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/api/v1/channel/orders/{external_order_id}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查询整单状态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A3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/api/v1/channel/orders/{external_order_id}/products/{product}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查询 TAX/INVOICE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A4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/api/v1/channel/orders/{external_order_id}/artifacts/{artifact_id}/download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下载 Worker 原始文件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H1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/api/v1/public/html-reports/{token}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查看只读 HTML 报告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D1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/api/channel/data/tax/all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税务 ALL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D2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/api/channel/data/tax/standardTable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税务 STANDARD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D3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/api/channel/data/tax/results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税务组合结果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D4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/api/channel/data/reports/status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查询 PDF 状态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D5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/api/channel/data/reports/{report_id}/download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下载 PDF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D6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/api/channel/data/invoice/all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发票 ALL 分页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D7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/api/channel/data/invoice/standard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发票 STANDARD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D8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/api/channel/data/invoice/results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发票组合结果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B1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/api/v2/channel/invoices/cursor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游标续拉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B2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/api/v2/channel/invoices/package/status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查询分片包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B3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POST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/api/v2/channel/invoices/package/manifest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获取清单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B4</w:t>
            </w:r>
          </w:p>
        </w:tc>
        <w:tc>
          <w:tcPr>
            <w:tcW w:type="dxa" w:w="7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center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GET</w:t>
            </w:r>
          </w:p>
        </w:tc>
        <w:tc>
          <w:tcPr>
            <w:tcW w:type="dxa" w:w="60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/api/v2/channel/invoices/packages/{export_id}/parts/{part_no}/download</w:t>
            </w:r>
          </w:p>
        </w:tc>
        <w:tc>
          <w:tcPr>
            <w:tcW w:type="dxa" w:w="19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下载分片</w:t>
            </w:r>
          </w:p>
        </w:tc>
      </w:tr>
    </w:tbl>
    <w:p>
      <w:pPr>
        <w:spacing w:before="0" w:after="20"/>
      </w:pP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7"/>
        </w:rPr>
        <w:t xml:space="preserve">发票交付方式  </w:t>
      </w:r>
      <w:r>
        <w:rPr>
          <w:rFonts w:ascii="Calibri" w:hAnsi="Calibri" w:eastAsia="Microsoft YaHei" w:cs="Calibri"/>
          <w:color w:val="24324A"/>
          <w:sz w:val="17"/>
        </w:rPr>
        <w:t>LEGACY：普通分页；CURSOR：分批续拉；PACKAGE：分片下载。D1-D8 路径没有 /v1。A4 使用 X-Channel-Key；H1、D5、B4 直接使用返回的 URL，不附渠道头。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3. 鉴权与签名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2100"/>
        <w:gridCol w:w="7260"/>
      </w:tblGrid>
      <w:tr>
        <w:trPr>
          <w:tblHeader w:val="true"/>
          <w:cantSplit/>
        </w:trPr>
        <w:tc>
          <w:tcPr>
            <w:tcW w:type="dxa" w:w="21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接口</w:t>
            </w:r>
          </w:p>
        </w:tc>
        <w:tc>
          <w:tcPr>
            <w:tcW w:type="dxa" w:w="726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必须携带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A1-A4</w:t>
            </w:r>
          </w:p>
        </w:tc>
        <w:tc>
          <w:tcPr>
            <w:tcW w:type="dxa" w:w="72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X-Channel-Key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D1-D4、D6-D8</w:t>
            </w:r>
          </w:p>
        </w:tc>
        <w:tc>
          <w:tcPr>
            <w:tcW w:type="dxa" w:w="72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X-Channel-Key；环境要求签名时再加 X-Channel-Timestamp + X-Channel-Nonce + X-Channel-Signature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B1-B3</w:t>
            </w:r>
          </w:p>
        </w:tc>
        <w:tc>
          <w:tcPr>
            <w:tcW w:type="dxa" w:w="72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X-Channel-Key + X-Channel-Timestamp + X-Channel-Nonce + X-Channel-Signature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H1、D5、B4</w:t>
            </w:r>
          </w:p>
        </w:tc>
        <w:tc>
          <w:tcPr>
            <w:tcW w:type="dxa" w:w="72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7"/>
              </w:rPr>
              <w:t>直接 GET 返回的 accessUrl/downloadUrl；不附渠道头</w:t>
            </w:r>
          </w:p>
        </w:tc>
      </w:tr>
    </w:tbl>
    <w:p>
      <w:pPr>
        <w:spacing w:before="0" w:after="40"/>
      </w:pPr>
    </w:p>
    <w:p>
      <w:pPr>
        <w:keepLines/>
        <w:spacing w:before="40" w:after="80" w:line="259" w:lineRule="auto"/>
        <w:ind w:left="144" w:right="86"/>
        <w:shd w:fill="FFF7E6" w:val="clear"/>
        <w:pBdr>
          <w:left w:val="single" w:sz="24" w:space="8" w:color="8A5A00"/>
        </w:pBdr>
      </w:pPr>
      <w:r>
        <w:rPr>
          <w:rFonts w:ascii="Calibri" w:hAnsi="Calibri" w:eastAsia="Microsoft YaHei" w:cs="Calibri"/>
          <w:b/>
          <w:color w:val="8A5A00"/>
          <w:sz w:val="18"/>
        </w:rPr>
        <w:t xml:space="preserve">V1 数据接口签名要求  </w:t>
      </w:r>
      <w:r>
        <w:rPr>
          <w:rFonts w:ascii="Calibri" w:hAnsi="Calibri" w:eastAsia="Microsoft YaHei" w:cs="Calibri"/>
          <w:color w:val="24324A"/>
          <w:sz w:val="18"/>
        </w:rPr>
        <w:t>以平台提供的环境配置为准。如果带了任意一个签名头，Timestamp、Nonce、Signature 三项必须同时带齐。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请求签名原文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6"/>
        </w:rPr>
        <w:t>timestamp</w:t>
        <w:br/>
        <w:t>nonce</w:t>
        <w:br/>
        <w:t>METHOD</w:t>
        <w:br/>
        <w:t>request_path</w:t>
        <w:br/>
        <w:t>raw_query_string</w:t>
        <w:br/>
        <w:t>sha256(raw_request_body)</w:t>
        <w:br/>
        <w:br/>
        <w:t>signature = "sha256=" + HMAC_SHA256_HEX(Callback Secret UTF-8, canonical UTF-8)</w:t>
      </w:r>
    </w:p>
    <w:p>
      <w:pPr>
        <w:spacing w:before="0" w:after="60" w:line="269" w:lineRule="auto"/>
      </w:pPr>
      <w:r>
        <w:rPr>
          <w:rFonts w:ascii="Calibri" w:hAnsi="Calibri" w:eastAsia="Microsoft YaHei" w:cs="Calibri"/>
          <w:color w:val="24324A"/>
          <w:sz w:val="18"/>
        </w:rPr>
        <w:t>规则：timestamp 为 Unix 秒且误差不超过 300 秒；nonce 非空、最长 128 字符且不可重放；METHOD 大写；path 只含路径；query 使用原始查询串，无参数时为空；Body 哈希必须基于实际发送的原始字节。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签名校验示例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5"/>
        </w:rPr>
        <w:t>secret=demo-secret; timestamp=1700000000; nonce=demo-nonce</w:t>
        <w:br/>
        <w:t>method=POST; path=/api/v2/channel/invoices/cursor; query=""</w:t>
        <w:br/>
        <w:t>body={"channel_order_no":"BANK-001","order_no":"job-001"}</w:t>
        <w:br/>
        <w:t>bodySha256=7ae18a6af72d53d6c8f6dda9f7ef1dd7cf1925749669cd057442f3fc079afebb</w:t>
        <w:br/>
        <w:t>signature=sha256=0e5717ec89660971883af45cf9ac6c10424d55e0bda2fbd6c3cbfa4c05919c7b</w:t>
      </w: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8"/>
        </w:rPr>
        <w:t xml:space="preserve">回调验签  </w:t>
      </w:r>
      <w:r>
        <w:rPr>
          <w:rFonts w:ascii="Calibri" w:hAnsi="Calibri" w:eastAsia="Microsoft YaHei" w:cs="Calibri"/>
          <w:color w:val="24324A"/>
          <w:sz w:val="18"/>
        </w:rPr>
        <w:t>用 Callback Secret 对收到的原始 HTTP Body 计算 HMAC-SHA256，并与 X-RPA-Signature 比对。先验签，再解析 JSON。请求签名、回调签名和下载链接签名不是一回事。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4. 创建授权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6"/>
        </w:rPr>
        <w:t>POST {BASE_URL}/api/v1/channel/authorization-links</w:t>
        <w:br/>
        <w:t>X-Channel-Key: &lt;API_KEY&gt;</w:t>
        <w:br/>
        <w:t>Content-Type: application/json; charset=utf-8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4"/>
        </w:rPr>
        <w:t>{</w:t>
        <w:br/>
        <w:t xml:space="preserve">  "external_order_id":"BANK-20260824-0001",</w:t>
        <w:br/>
        <w:t xml:space="preserve">  "enterprise_name":"示例企业有限公司",</w:t>
        <w:br/>
        <w:t xml:space="preserve">  "taxpayer_id":"91420100XXXXXXXXXX",</w:t>
        <w:br/>
        <w:t xml:space="preserve">  "success_url":"https://customer.example.com/continue",</w:t>
        <w:br/>
        <w:t xml:space="preserve">  "exit_url":"https://customer.example.com/authorization",</w:t>
        <w:br/>
        <w:t xml:space="preserve">  "callback_url":"https://customer.example.com/rpa/callback",</w:t>
        <w:br/>
        <w:t xml:space="preserve">  "callback_mode":"AGGREGATE",</w:t>
        <w:br/>
        <w:t xml:space="preserve">  "collect_tax":true,</w:t>
        <w:br/>
        <w:t xml:space="preserve">  "collect_invoice":true,</w:t>
        <w:br/>
        <w:t xml:space="preserve">  "tax_data_types":["WORKER_RAW","ALL","STANDARD"],</w:t>
        <w:br/>
        <w:t xml:space="preserve">  "invoice_data_types":["WORKER_RAW","ALL"],</w:t>
        <w:br/>
        <w:t xml:space="preserve">  "invoice_delivery_mode":"CURSOR",</w:t>
        <w:br/>
        <w:t xml:space="preserve">  "data_retention_days":90,</w:t>
        <w:br/>
        <w:t xml:space="preserve">  "pdf_report_types":["TAX_INVOICE_DETAIL"],</w:t>
        <w:br/>
        <w:t xml:space="preserve">  "generate_html_reports":true,</w:t>
        <w:br/>
        <w:t xml:space="preserve">  "output_encryption":"SM4"</w:t>
        <w:br/>
        <w:t>}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700"/>
        <w:gridCol w:w="7660"/>
      </w:tblGrid>
      <w:tr>
        <w:trPr>
          <w:tblHeader w:val="true"/>
          <w:cantSplit/>
        </w:trPr>
        <w:tc>
          <w:tcPr>
            <w:tcW w:type="dxa" w:w="17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参数组</w:t>
            </w:r>
          </w:p>
        </w:tc>
        <w:tc>
          <w:tcPr>
            <w:tcW w:type="dxa" w:w="766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必填标识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external_order_id 1-128；enterprise_name 1-256；taxpayer_id 3-64；extras_data 默认 {}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采集开关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collect_tax=true、collect_invoice=true；至少启用一种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输出类型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税务/发票可从 WORKER_RAW、ALL、STANDARD 中任选非空组合；省略时兼容税务 ALL+STANDARD、发票 ALL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期间/保留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invoice_period 默认 CURRENT_YEAR_PLUS_4；data_retention_days 默认 30，范围 7-365 天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跳转/回调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三个 URL 都可不传；如提供，必须是公网 HTTPS，且 success_url/exit_url 不能指向平台。callback_url 缺省时用渠道默认值，两处都无则不回调；callback_mode 可选 AGGREGATE/PER_PRODUCT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交付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invoice_delivery_mode 默认 LEGACY；CURSOR/PACKAGE 必须采集发票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报告/加密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PDF 可选 TAX_INVOICE_DETAIL、TAX_INVOICE_SUMMARY；LEASING_CREDIT_CUSTOM 仅渠道已授权时可用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其他</w:t>
            </w:r>
          </w:p>
        </w:tc>
        <w:tc>
          <w:tcPr>
            <w:tcW w:type="dxa" w:w="76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HTML/PDF 要求同时采税务和发票；output_encryption 为 NONE(默认)或 SM4；expires_in_seconds 默认 1800，范围 60-86400</w:t>
            </w:r>
          </w:p>
        </w:tc>
      </w:tr>
    </w:tbl>
    <w:p>
      <w:pPr>
        <w:spacing w:before="0" w:after="20"/>
      </w:pP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6"/>
        </w:rPr>
        <w:t xml:space="preserve">响应字段  </w:t>
      </w:r>
      <w:r>
        <w:rPr>
          <w:rFonts w:ascii="Calibri" w:hAnsi="Calibri" w:eastAsia="Microsoft YaHei" w:cs="Calibri"/>
          <w:color w:val="24324A"/>
          <w:sz w:val="16"/>
        </w:rPr>
        <w:t>成功后返回 authorization_code、authorization_url、external_order_id、invoice_period、invoice_start_date、invoice_end_date、expires_at、dataDeliveryMode、generateHtmlReports 和 outputEncryption。前端只需打开 authorization_url。</w:t>
      </w:r>
    </w:p>
    <w:p>
      <w:pPr>
        <w:keepLines/>
        <w:spacing w:before="40" w:after="80" w:line="259" w:lineRule="auto"/>
        <w:ind w:left="144" w:right="86"/>
        <w:shd w:fill="FFF7E6" w:val="clear"/>
        <w:pBdr>
          <w:left w:val="single" w:sz="24" w:space="8" w:color="8A5A00"/>
        </w:pBdr>
      </w:pPr>
      <w:r>
        <w:rPr>
          <w:rFonts w:ascii="Calibri" w:hAnsi="Calibri" w:eastAsia="Microsoft YaHei" w:cs="Calibri"/>
          <w:b/>
          <w:color w:val="8A5A00"/>
          <w:sz w:val="16"/>
        </w:rPr>
        <w:t xml:space="preserve">幂等与结果复用  </w:t>
      </w:r>
      <w:r>
        <w:rPr>
          <w:rFonts w:ascii="Calibri" w:hAnsi="Calibri" w:eastAsia="Microsoft YaHei" w:cs="Calibri"/>
          <w:color w:val="24324A"/>
          <w:sz w:val="16"/>
        </w:rPr>
        <w:t>external_order_id 相同且参数不变时可以安全重试；关键参数变化会返回 HTTP 409 EXTERNAL_ORDER_CONFLICT。平台还可按渠道设置 1-365 天复用窗口：同一企业近期有采集范围、期间、输出类型、报告和发票交付方式都相同的成功结果时，授权页会询问用户是否直接使用。用户确认后当前订单仍正常完成，客户系统无需新增接口调用。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5. 状态与回调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6"/>
        </w:rPr>
        <w:t>GET {BASE_URL}/api/v1/channel/orders/{external_order_id}</w:t>
        <w:br/>
        <w:t>GET {BASE_URL}/api/v1/channel/orders/{external_order_id}/products/{TAX|INVOICE}</w:t>
        <w:br/>
        <w:t>X-Channel-Key: &lt;API_KEY&gt;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400"/>
        <w:gridCol w:w="3140"/>
        <w:gridCol w:w="1400"/>
        <w:gridCol w:w="3420"/>
      </w:tblGrid>
      <w:tr>
        <w:trPr>
          <w:tblHeader w:val="true"/>
          <w:cantSplit/>
        </w:trPr>
        <w:tc>
          <w:tcPr>
            <w:tcW w:type="dxa" w:w="14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订单 state</w:t>
            </w:r>
          </w:p>
        </w:tc>
        <w:tc>
          <w:tcPr>
            <w:tcW w:type="dxa" w:w="314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含义</w:t>
            </w:r>
          </w:p>
        </w:tc>
        <w:tc>
          <w:tcPr>
            <w:tcW w:type="dxa" w:w="14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产品 state</w:t>
            </w:r>
          </w:p>
        </w:tc>
        <w:tc>
          <w:tcPr>
            <w:tcW w:type="dxa" w:w="342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含义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CONNECT</w:t>
            </w:r>
          </w:p>
        </w:tc>
        <w:tc>
          <w:tcPr>
            <w:tcW w:type="dxa" w:w="31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等待企业用户提交授权</w:t>
            </w:r>
          </w:p>
        </w:tc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PENDING</w:t>
            </w:r>
          </w:p>
        </w:tc>
        <w:tc>
          <w:tcPr>
            <w:tcW w:type="dxa" w:w="34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尚未完成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PROCESS</w:t>
            </w:r>
          </w:p>
        </w:tc>
        <w:tc>
          <w:tcPr>
            <w:tcW w:type="dxa" w:w="31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排队、采集、校验或上传中</w:t>
            </w:r>
          </w:p>
        </w:tc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SUCCEEDED</w:t>
            </w:r>
          </w:p>
        </w:tc>
        <w:tc>
          <w:tcPr>
            <w:tcW w:type="dxa" w:w="34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产品已成功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INTERACTION</w:t>
            </w:r>
          </w:p>
        </w:tc>
        <w:tc>
          <w:tcPr>
            <w:tcW w:type="dxa" w:w="31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等待短信、验证码或人工交互</w:t>
            </w:r>
          </w:p>
        </w:tc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FAILED</w:t>
            </w:r>
          </w:p>
        </w:tc>
        <w:tc>
          <w:tcPr>
            <w:tcW w:type="dxa" w:w="34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产品最终失败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SUCCESS</w:t>
            </w:r>
          </w:p>
        </w:tc>
        <w:tc>
          <w:tcPr>
            <w:tcW w:type="dxa" w:w="31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整单作业成功终结</w:t>
            </w:r>
          </w:p>
        </w:tc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SKIPPED</w:t>
            </w:r>
          </w:p>
        </w:tc>
        <w:tc>
          <w:tcPr>
            <w:tcW w:type="dxa" w:w="34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未执行或前置失败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ERROR</w:t>
            </w:r>
          </w:p>
        </w:tc>
        <w:tc>
          <w:tcPr>
            <w:tcW w:type="dxa" w:w="314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任务已失败、取消或丢失</w:t>
            </w:r>
          </w:p>
        </w:tc>
        <w:tc>
          <w:tcPr>
            <w:tcW w:type="dxa" w:w="14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</w:r>
          </w:p>
        </w:tc>
        <w:tc>
          <w:tcPr>
            <w:tcW w:type="dxa" w:w="34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</w:r>
          </w:p>
        </w:tc>
      </w:tr>
    </w:tbl>
    <w:p>
      <w:pPr>
        <w:spacing w:before="0" w:after="20"/>
      </w:pPr>
    </w:p>
    <w:p>
      <w:pPr>
        <w:keepLines/>
        <w:spacing w:before="40" w:after="80" w:line="259" w:lineRule="auto"/>
        <w:ind w:left="144" w:right="86"/>
        <w:shd w:fill="ECF8F3" w:val="clear"/>
        <w:pBdr>
          <w:left w:val="single" w:sz="24" w:space="8" w:color="087A55"/>
        </w:pBdr>
      </w:pPr>
      <w:r>
        <w:rPr>
          <w:rFonts w:ascii="Calibri" w:hAnsi="Calibri" w:eastAsia="Microsoft YaHei" w:cs="Calibri"/>
          <w:b/>
          <w:color w:val="087A55"/>
          <w:sz w:val="17"/>
        </w:rPr>
        <w:t xml:space="preserve">取数条件  </w:t>
      </w:r>
      <w:r>
        <w:rPr>
          <w:rFonts w:ascii="Calibri" w:hAnsi="Calibri" w:eastAsia="Microsoft YaHei" w:cs="Calibri"/>
          <w:color w:val="24324A"/>
          <w:sz w:val="17"/>
        </w:rPr>
        <w:t>只有该产品 state=SUCCEEDED 且 available=true 时才取数。订单显示 SUCCESS 说明整单已经结束，但读取税务或发票前，仍要看对应产品的状态。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回调事件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2300"/>
        <w:gridCol w:w="7060"/>
      </w:tblGrid>
      <w:tr>
        <w:trPr>
          <w:tblHeader w:val="true"/>
          <w:cantSplit/>
        </w:trPr>
        <w:tc>
          <w:tcPr>
            <w:tcW w:type="dxa" w:w="230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阶段/模式</w:t>
            </w:r>
          </w:p>
        </w:tc>
        <w:tc>
          <w:tcPr>
            <w:tcW w:type="dxa" w:w="706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7"/>
              </w:rPr>
              <w:t>事件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授权阶段</w:t>
            </w:r>
          </w:p>
        </w:tc>
        <w:tc>
          <w:tcPr>
            <w:tcW w:type="dxa" w:w="70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authorization.completed；authorization.failed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AGGREGATE</w:t>
            </w:r>
          </w:p>
        </w:tc>
        <w:tc>
          <w:tcPr>
            <w:tcW w:type="dxa" w:w="70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order.completed；order.failed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PER_PRODUCT 税务/发票</w:t>
            </w:r>
          </w:p>
        </w:tc>
        <w:tc>
          <w:tcPr>
            <w:tcW w:type="dxa" w:w="70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collection.tax.completed|failed|skipped；collection.invoice.completed|failed|skipped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PER_PRODUCT PDF</w:t>
            </w:r>
          </w:p>
        </w:tc>
        <w:tc>
          <w:tcPr>
            <w:tcW w:type="dxa" w:w="70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collection.pdf.completed|partial|failed</w:t>
            </w:r>
          </w:p>
        </w:tc>
      </w:tr>
    </w:tbl>
    <w:p>
      <w:pPr>
        <w:spacing w:before="0" w:after="20"/>
      </w:pPr>
    </w:p>
    <w:p>
      <w:pPr>
        <w:spacing w:before="0" w:after="60" w:line="269" w:lineRule="auto"/>
      </w:pPr>
      <w:r>
        <w:rPr>
          <w:rFonts w:ascii="Calibri" w:hAnsi="Calibri" w:eastAsia="Microsoft YaHei" w:cs="Calibri"/>
          <w:color w:val="24324A"/>
          <w:sz w:val="17"/>
        </w:rPr>
        <w:t>订单、产品和回调均返回 dataDeliveryMode；选择 WORKER_RAW 时，当前成功批次的 artifacts 含 id、kind、filename、size、sha256、downloadUrl。回调头为 X-RPA-Event、X-RPA-Delivery、X-RPA-Signature，业务侧按 event_id 去重；产品回调另含 attempt_id。</w:t>
      </w:r>
    </w:p>
    <w:p>
      <w:pPr>
        <w:keepLines/>
        <w:spacing w:before="40" w:after="80" w:line="259" w:lineRule="auto"/>
        <w:ind w:left="144" w:right="86"/>
        <w:shd w:fill="FFF7E6" w:val="clear"/>
        <w:pBdr>
          <w:left w:val="single" w:sz="24" w:space="8" w:color="8A5A00"/>
        </w:pBdr>
      </w:pPr>
      <w:r>
        <w:rPr>
          <w:rFonts w:ascii="Calibri" w:hAnsi="Calibri" w:eastAsia="Microsoft YaHei" w:cs="Calibri"/>
          <w:b/>
          <w:color w:val="8A5A00"/>
          <w:sz w:val="17"/>
        </w:rPr>
        <w:t xml:space="preserve">回调处理要求  </w:t>
      </w:r>
      <w:r>
        <w:rPr>
          <w:rFonts w:ascii="Calibri" w:hAnsi="Calibri" w:eastAsia="Microsoft YaHei" w:cs="Calibri"/>
          <w:color w:val="24324A"/>
          <w:sz w:val="17"/>
        </w:rPr>
        <w:t>先对原始 Body 验签，再按 event_id 去重并保存，事务提交后返回任意 2xx。平台单次等待 10 秒，最多尝试 8 次；回调可能重复或顺序不同，同一次投递重试的 X-RPA-Delivery 不变。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6. V1 数据、PDF 与 HTML</w:t>
      </w:r>
    </w:p>
    <w:p>
      <w:pPr>
        <w:spacing w:before="0" w:after="40" w:line="269" w:lineRule="auto"/>
      </w:pPr>
      <w:r>
        <w:rPr>
          <w:rFonts w:ascii="Calibri" w:hAnsi="Calibri" w:eastAsia="Microsoft YaHei" w:cs="Calibri"/>
          <w:color w:val="24324A"/>
          <w:sz w:val="17"/>
        </w:rPr>
        <w:t>请求体三项：channelCode 为平台分配且必须匹配 X-Channel-Key；channelOrderNo 为 external_order_id；orderNo 为订单查询或回调中的 job_id/orderNo。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6"/>
        </w:rPr>
        <w:t>{"channelCode":"BANK","channelOrderNo":"BANK-20260824-0001","orderNo":"&lt;job_id&gt;"}</w:t>
      </w:r>
    </w:p>
    <w:p>
      <w:pPr>
        <w:spacing w:before="0" w:after="60" w:line="269" w:lineRule="auto"/>
      </w:pPr>
      <w:r>
        <w:rPr>
          <w:rFonts w:ascii="Calibri" w:hAnsi="Calibri" w:eastAsia="Microsoft YaHei" w:cs="Calibri"/>
          <w:color w:val="24324A"/>
          <w:sz w:val="17"/>
        </w:rPr>
        <w:t>ALL 允许新增字段；税务 ALL 固定为 V2、共 37 个节点，不接受版本参数。STANDARD 按 schemaVersion 解析，税务固定完整 24 模块、发票固定完整 13 模块。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2550"/>
        <w:gridCol w:w="1350"/>
        <w:gridCol w:w="5460"/>
      </w:tblGrid>
      <w:tr>
        <w:trPr>
          <w:tblHeader w:val="true"/>
          <w:cantSplit/>
        </w:trPr>
        <w:tc>
          <w:tcPr>
            <w:tcW w:type="dxa" w:w="25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编号/接口</w:t>
            </w:r>
          </w:p>
        </w:tc>
        <w:tc>
          <w:tcPr>
            <w:tcW w:type="dxa" w:w="13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成功 code</w:t>
            </w:r>
          </w:p>
        </w:tc>
        <w:tc>
          <w:tcPr>
            <w:tcW w:type="dxa" w:w="546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6"/>
              </w:rPr>
              <w:t>关键说明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D1 /tax/all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税务 ALL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D2 /tax/standardTable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tax-standard.v2，24 模块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D3 /tax/results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按授权范围组合 ALL/STANDARD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D4 /reports/status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返回 status、reports[].downloadUrl、sha256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D5 PDF downloadUrl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HTTP 2xx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直接下载；校验响应头 X-Content-SHA256 与返回的 sha256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D6 /invoice/all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pageNum 默认 1；pageSize 默认 100、上限 1000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D7 /invoice/standard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invoice-standard.v2，13 模块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D8 /invoice/results</w:t>
            </w:r>
          </w:p>
        </w:tc>
        <w:tc>
          <w:tcPr>
            <w:tcW w:type="dxa" w:w="13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200</w:t>
            </w:r>
          </w:p>
        </w:tc>
        <w:tc>
          <w:tcPr>
            <w:tcW w:type="dxa" w:w="546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6"/>
              </w:rPr>
              <w:t>按授权范围组合 ALL/STANDARD</w:t>
            </w:r>
          </w:p>
        </w:tc>
      </w:tr>
    </w:tbl>
    <w:p>
      <w:pPr>
        <w:spacing w:before="0" w:after="20"/>
      </w:pP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6"/>
        </w:rPr>
        <w:t>{"code":200,"msg":"操作成功","message":"操作成功","data":{...},"success":true}</w:t>
      </w: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7"/>
        </w:rPr>
        <w:t xml:space="preserve">成功判定  </w:t>
      </w:r>
      <w:r>
        <w:rPr>
          <w:rFonts w:ascii="Calibri" w:hAnsi="Calibri" w:eastAsia="Microsoft YaHei" w:cs="Calibri"/>
          <w:color w:val="24324A"/>
          <w:sz w:val="17"/>
        </w:rPr>
        <w:t>V1 返回 HTTP 200 不等于业务一定成功，还要同时看 success 和 code。正常成功 code 是 200 或 0；客户端可以兼容 60001，但现在这些接口不会主动返回 60001。PDF 返回的是文件，不是 JSON。</w:t>
      </w:r>
    </w:p>
    <w:p>
      <w:pPr>
        <w:keepLines/>
        <w:spacing w:before="40" w:after="80" w:line="259" w:lineRule="auto"/>
        <w:ind w:left="144" w:right="86"/>
        <w:shd w:fill="FFF7E6" w:val="clear"/>
        <w:pBdr>
          <w:left w:val="single" w:sz="24" w:space="8" w:color="8A5A00"/>
        </w:pBdr>
      </w:pPr>
      <w:r>
        <w:rPr>
          <w:rFonts w:ascii="Calibri" w:hAnsi="Calibri" w:eastAsia="Microsoft YaHei" w:cs="Calibri"/>
          <w:b/>
          <w:color w:val="8A5A00"/>
          <w:sz w:val="17"/>
        </w:rPr>
        <w:t xml:space="preserve">PDF  </w:t>
      </w:r>
      <w:r>
        <w:rPr>
          <w:rFonts w:ascii="Calibri" w:hAnsi="Calibri" w:eastAsia="Microsoft YaHei" w:cs="Calibri"/>
          <w:color w:val="24324A"/>
          <w:sz w:val="17"/>
        </w:rPr>
        <w:t>先调用 D4。报告成功后直接 GET 返回的 downloadUrl，不自行拼接 report_id；链接过期时重新查询 D4 获取新地址。</w:t>
      </w:r>
    </w:p>
    <w:p>
      <w:pPr>
        <w:keepLines/>
        <w:spacing w:before="40" w:after="80" w:line="259" w:lineRule="auto"/>
        <w:ind w:left="144" w:right="86"/>
        <w:shd w:fill="ECF8F3" w:val="clear"/>
        <w:pBdr>
          <w:left w:val="single" w:sz="24" w:space="8" w:color="087A55"/>
        </w:pBdr>
      </w:pPr>
      <w:r>
        <w:rPr>
          <w:rFonts w:ascii="Calibri" w:hAnsi="Calibri" w:eastAsia="Microsoft YaHei" w:cs="Calibri"/>
          <w:b/>
          <w:color w:val="087A55"/>
          <w:sz w:val="16"/>
        </w:rPr>
        <w:t xml:space="preserve">HTML  </w:t>
      </w:r>
      <w:r>
        <w:rPr>
          <w:rFonts w:ascii="Calibri" w:hAnsi="Calibri" w:eastAsia="Microsoft YaHei" w:cs="Calibri"/>
          <w:color w:val="24324A"/>
          <w:sz w:val="16"/>
        </w:rPr>
        <w:t>generate_html_reports=true 时返回详版和简版两份 htmlReports，总状态为 PENDING/READY/PARTIAL/FAILED。直接打开 accessUrl；链接固定 7 天且不续期。重新渲染会沿用原访问链接和到期时间，不会延期。accessUrl 本身就是访问凭证，不要写入公开日志。HTML 与 PDF 开关互不影响。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7. Worker 原始文件、V2 发票与 SM4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WORKER_RAW：原始文件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5"/>
        </w:rPr>
        <w:t>GET {BASE_URL}/api/v1/channel/orders/{external_order_id}/artifacts/{artifact_id}/download</w:t>
        <w:br/>
        <w:t>X-Channel-Key: &lt;API_KEY&gt;</w:t>
      </w:r>
    </w:p>
    <w:p>
      <w:pPr>
        <w:spacing w:before="0" w:after="40" w:line="269" w:lineRule="auto"/>
      </w:pPr>
      <w:r>
        <w:rPr>
          <w:rFonts w:ascii="Calibri" w:hAnsi="Calibri" w:eastAsia="Microsoft YaHei" w:cs="Calibri"/>
          <w:color w:val="24324A"/>
          <w:sz w:val="16"/>
        </w:rPr>
        <w:t>在对应产品的输出类型数组中选择 WORKER_RAW 后，订单、产品和终态回调的 artifacts 会返回原始文件 downloadUrl。A4 下载必须携带 X-Channel-Key，并校验响应头 X-Content-SHA256；文件按 data_retention_days 到期清理。不可用返回 RAW_ARTIFACT_NOT_AVAILABLE，已清理返回 RAW_ARTIFACT_EXPIRED。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CURSOR：分批续拉</w:t>
      </w:r>
    </w:p>
    <w:p>
      <w:pPr>
        <w:pStyle w:val="CodeBlock"/>
        <w:keepLines/>
        <w:spacing w:before="40" w:after="80" w:line="240" w:lineRule="auto"/>
        <w:ind w:left="144" w:right="144"/>
        <w:shd w:fill="F5F8FC" w:val="clear"/>
      </w:pPr>
      <w:r>
        <w:rPr>
          <w:rFonts w:ascii="Consolas" w:hAnsi="Consolas" w:eastAsia="Microsoft YaHei" w:cs="Consolas"/>
          <w:color w:val="24324A"/>
          <w:sz w:val="15"/>
        </w:rPr>
        <w:t>{"channel_order_no":"BANK-20260824-0001","order_no":"&lt;job_id&gt;","cursor":null,"limit":1000}</w:t>
      </w:r>
    </w:p>
    <w:p>
      <w:pPr>
        <w:spacing w:before="0" w:after="60" w:line="269" w:lineRule="auto"/>
      </w:pPr>
      <w:r>
        <w:rPr>
          <w:rFonts w:ascii="Calibri" w:hAnsi="Calibri" w:eastAsia="Microsoft YaHei" w:cs="Calibri"/>
          <w:color w:val="24324A"/>
          <w:sz w:val="16"/>
        </w:rPr>
        <w:t>B1-B3 强制使用第 3 页的四个渠道头。CURSOR 返回 schemaVersion、datasetId、status、total、count、records、nextCursor、hasMore、expiresAt；默认 500 条，上限 2000 条。</w:t>
      </w:r>
    </w:p>
    <w:p>
      <w:pPr>
        <w:numPr>
          <w:ilvl w:val="0"/>
          <w:numId w:val="18"/>
        </w:numPr>
        <w:keepLines/>
        <w:spacing w:before="0" w:after="10" w:line="259" w:lineRule="auto"/>
      </w:pPr>
      <w:r>
        <w:rPr>
          <w:rFonts w:ascii="Calibri" w:hAnsi="Calibri" w:eastAsia="Microsoft YaHei" w:cs="Calibri"/>
          <w:color w:val="24324A"/>
          <w:sz w:val="16"/>
        </w:rPr>
        <w:t>第一批传 cursor=null；这一批 records 保存成功后，再保存 nextCursor。</w:t>
      </w:r>
    </w:p>
    <w:p>
      <w:pPr>
        <w:numPr>
          <w:ilvl w:val="0"/>
          <w:numId w:val="18"/>
        </w:numPr>
        <w:keepLines/>
        <w:spacing w:before="0" w:after="10" w:line="259" w:lineRule="auto"/>
      </w:pPr>
      <w:r>
        <w:rPr>
          <w:rFonts w:ascii="Calibri" w:hAnsi="Calibri" w:eastAsia="Microsoft YaHei" w:cs="Calibri"/>
          <w:color w:val="24324A"/>
          <w:sz w:val="16"/>
        </w:rPr>
        <w:t>hasMore=true 时继续；hasMore=false 时结束。不要并发消费同一条游标链。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PACKAGE：分片下载</w:t>
      </w:r>
    </w:p>
    <w:p>
      <w:pPr>
        <w:numPr>
          <w:ilvl w:val="0"/>
          <w:numId w:val="17"/>
        </w:numPr>
        <w:keepLines/>
        <w:spacing w:before="0" w:after="10" w:line="259" w:lineRule="auto"/>
      </w:pPr>
      <w:r>
        <w:rPr>
          <w:rFonts w:ascii="Calibri" w:hAnsi="Calibri" w:eastAsia="Microsoft YaHei" w:cs="Calibri"/>
          <w:color w:val="24324A"/>
          <w:sz w:val="16"/>
        </w:rPr>
        <w:t>调用 B2，等待 status=READY，保存 exportId。</w:t>
      </w:r>
    </w:p>
    <w:p>
      <w:pPr>
        <w:numPr>
          <w:ilvl w:val="0"/>
          <w:numId w:val="17"/>
        </w:numPr>
        <w:keepLines/>
        <w:spacing w:before="0" w:after="10" w:line="259" w:lineRule="auto"/>
      </w:pPr>
      <w:r>
        <w:rPr>
          <w:rFonts w:ascii="Calibri" w:hAnsi="Calibri" w:eastAsia="Microsoft YaHei" w:cs="Calibri"/>
          <w:color w:val="24324A"/>
          <w:sz w:val="16"/>
        </w:rPr>
        <w:t>调用 B3，取得 parts[]：partNo、firstSequence、lastSequence、recordCount、sha256、downloadUrl。</w:t>
      </w:r>
    </w:p>
    <w:p>
      <w:pPr>
        <w:numPr>
          <w:ilvl w:val="0"/>
          <w:numId w:val="17"/>
        </w:numPr>
        <w:keepLines/>
        <w:spacing w:before="0" w:after="10" w:line="259" w:lineRule="auto"/>
      </w:pPr>
      <w:r>
        <w:rPr>
          <w:rFonts w:ascii="Calibri" w:hAnsi="Calibri" w:eastAsia="Microsoft YaHei" w:cs="Calibri"/>
          <w:color w:val="24324A"/>
          <w:sz w:val="16"/>
        </w:rPr>
        <w:t>直接 GET downloadUrl；校验 SHA-256 并按 partNo/sequence 处理。失败只重下当前分片。</w:t>
      </w:r>
    </w:p>
    <w:p>
      <w:pPr>
        <w:keepLines/>
        <w:spacing w:before="40" w:after="80" w:line="259" w:lineRule="auto"/>
        <w:ind w:left="144" w:right="86"/>
        <w:shd w:fill="ECF8F3" w:val="clear"/>
        <w:pBdr>
          <w:left w:val="single" w:sz="24" w:space="8" w:color="087A55"/>
        </w:pBdr>
      </w:pPr>
      <w:r>
        <w:rPr>
          <w:rFonts w:ascii="Calibri" w:hAnsi="Calibri" w:eastAsia="Microsoft YaHei" w:cs="Calibri"/>
          <w:b/>
          <w:color w:val="087A55"/>
          <w:sz w:val="16"/>
        </w:rPr>
        <w:t xml:space="preserve">完整性校验  </w:t>
      </w:r>
      <w:r>
        <w:rPr>
          <w:rFonts w:ascii="Calibri" w:hAnsi="Calibri" w:eastAsia="Microsoft YaHei" w:cs="Calibri"/>
          <w:color w:val="24324A"/>
          <w:sz w:val="16"/>
        </w:rPr>
        <w:t>保存 datasetId/exportId、游标或分片检查点；校验 manifestSha256、part.sha256 和 X-Content-SHA256。CURSOR/PACKAGE 只影响发票 ALL。</w:t>
      </w: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SM4 客户 JSON 加密</w:t>
      </w:r>
    </w:p>
    <w:p>
      <w:pPr>
        <w:spacing w:before="0" w:after="0" w:line="269" w:lineRule="auto"/>
      </w:pPr>
      <w:r>
        <w:rPr>
          <w:rFonts w:ascii="Calibri" w:hAnsi="Calibri" w:eastAsia="Microsoft YaHei" w:cs="Calibri"/>
          <w:color w:val="24324A"/>
          <w:sz w:val="16"/>
        </w:rPr>
        <w:t>output_encryption=SM4 时，成功 JSON 和回调使用 tax-rpa.sm4-gcm.v1 信封（iv/ciphertext/tag 均为 Base64）。密钥为 SHA-256(Callback Secret UTF-8)前 16 字节。回调先验签原始密文 Body，再校验 GCM Tag 并解密；PDF、HTML、Worker 原始文件和 gzip 分片字节不加密。</w:t>
      </w:r>
    </w:p>
    <w:p>
      <w:r>
        <w:br w:type="page"/>
      </w:r>
    </w:p>
    <w:p>
      <w:pPr>
        <w:pStyle w:val="Heading1"/>
        <w:keepNext/>
        <w:keepLines/>
        <w:spacing w:before="0" w:after="100" w:line="240" w:lineRule="auto"/>
      </w:pPr>
      <w:r>
        <w:rPr>
          <w:rFonts w:ascii="Calibri" w:hAnsi="Calibri" w:eastAsia="Microsoft YaHei" w:cs="Calibri"/>
          <w:b/>
          <w:color w:val="2E74B5"/>
          <w:sz w:val="32"/>
        </w:rPr>
        <w:t>8. 错误恢复与上线检查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2920"/>
        <w:gridCol w:w="2690"/>
        <w:gridCol w:w="3750"/>
      </w:tblGrid>
      <w:tr>
        <w:trPr>
          <w:tblHeader w:val="true"/>
          <w:cantSplit/>
        </w:trPr>
        <w:tc>
          <w:tcPr>
            <w:tcW w:type="dxa" w:w="292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状态/业务码</w:t>
            </w:r>
          </w:p>
        </w:tc>
        <w:tc>
          <w:tcPr>
            <w:tcW w:type="dxa" w:w="269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含义</w:t>
            </w:r>
          </w:p>
        </w:tc>
        <w:tc>
          <w:tcPr>
            <w:tcW w:type="dxa" w:w="3750"/>
            <w:vAlign w:val="center"/>
            <w:shd w:fill="E8EEF5" w:val="clea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/>
                <w:color w:val="12233F"/>
                <w:sz w:val="15"/>
              </w:rPr>
              <w:t>客户处理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HTTP 401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Key、时间戳或签名无效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核对环境、canonical、系统时间；不要盲目重试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HTTP 403/404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无权、签名链接失效或资源不存在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核对渠道/订单；重新获取下载 URL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HTML 404/410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token 无效 / 链接过期或授权失效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链接不续期；重新发起采集或联系平台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REPORT_NOT_ENTITLED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渠道无权生成所选定制报告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移除该报告编码或联系平台授权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RAW_ARTIFACT 404/410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原始文件不可用 / 已超过保留期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核对 WORKER_RAW 与 artifact_id；过期后不可恢复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HTTP 409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幂等冲突、Nonce 重放或模式不匹配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读取 code；更换订单号或 Nonce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HTTP 422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请求字段校验失败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按 details.errors 修正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60003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任务存在，仍在采集中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15-30 秒后查询同一任务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60002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任务已失败、取消、丢失，或没有可返回的数据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查询订单/产品错误；不要继续按处理中重试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10000 / 10001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任务不存在 / 参数或授权范围错误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核对三编号、分页和原授权范围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INVOICE_CURSOR_EXPIRED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游标过期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停止续拉，保留检查点并联系平台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INVOICE_EXPORT_NOT_READY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分片包尚未就绪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继续查询 package/status</w:t>
            </w:r>
          </w:p>
        </w:tc>
      </w:tr>
      <w:tr>
        <w:trPr>
          <w:cantSplit/>
        </w:trPr>
        <w:tc>
          <w:tcPr>
            <w:tcW w:type="dxa" w:w="292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INVOICE_DELIVERY_MODE_MISMATCH</w:t>
            </w:r>
          </w:p>
        </w:tc>
        <w:tc>
          <w:tcPr>
            <w:tcW w:type="dxa" w:w="269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订单未选择当前交付模式</w:t>
            </w:r>
          </w:p>
        </w:tc>
        <w:tc>
          <w:tcPr>
            <w:tcW w:type="dxa" w:w="3750"/>
            <w:vAlign w:val="center"/>
            <w:tcBorders>
              <w:top w:val="single" w:sz="6" w:space="0" w:color="D8E1EC"/>
              <w:left w:val="single" w:sz="6" w:space="0" w:color="D8E1EC"/>
              <w:bottom w:val="single" w:sz="6" w:space="0" w:color="D8E1EC"/>
              <w:right w:val="single" w:sz="6" w:space="0" w:color="D8E1EC"/>
              <w:insideH w:val="single" w:sz="6" w:space="0" w:color="D8E1EC"/>
              <w:insideV w:val="single" w:sz="6" w:space="0" w:color="D8E1EC"/>
            </w:tcBorders>
            <w:tcMar>
              <w:top w:w="64" w:type="dxa"/>
              <w:bottom w:w="64" w:type="dxa"/>
              <w:start w:w="100" w:type="dxa"/>
              <w:end w:w="100" w:type="dxa"/>
            </w:tcMar>
          </w:tcPr>
          <w:p>
            <w:pPr>
              <w:keepLines/>
              <w:spacing w:before="0" w:after="0" w:line="269" w:lineRule="auto"/>
              <w:jc w:val="left"/>
            </w:pPr>
            <w:r/>
            <w:r>
              <w:rPr>
                <w:rFonts w:ascii="Calibri" w:hAnsi="Calibri" w:eastAsia="Microsoft YaHei" w:cs="Calibri"/>
                <w:b w:val="0"/>
                <w:color w:val="24324A"/>
                <w:sz w:val="14"/>
              </w:rPr>
              <w:t>使用授权时确定的 LEGACY/CURSOR/PACKAGE</w:t>
            </w:r>
          </w:p>
        </w:tc>
      </w:tr>
    </w:tbl>
    <w:p>
      <w:pPr>
        <w:spacing w:before="0" w:after="20"/>
      </w:pPr>
    </w:p>
    <w:p>
      <w:pPr>
        <w:pStyle w:val="Heading2"/>
        <w:keepNext/>
        <w:keepLines/>
        <w:spacing w:before="120" w:after="60" w:line="240" w:lineRule="auto"/>
      </w:pPr>
      <w:r>
        <w:rPr>
          <w:rFonts w:ascii="Calibri" w:hAnsi="Calibri" w:eastAsia="Microsoft YaHei" w:cs="Calibri"/>
          <w:b/>
          <w:color w:val="2E74B5"/>
          <w:sz w:val="24"/>
        </w:rPr>
        <w:t>上线前逐项确认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Key/Secret 仅存服务端密钥系统；测试与生产域名、凭据和订单号空间隔离。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authorization_url 直接使用；success_url/exit_url/callback_url 如提供，必须为公网 HTTPS。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请求签名和回调验签都基于实际原始字节；Nonce 不重放。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回调按 event_id 去重；数据保存成功后返回 2xx；没收到回调时再低频查询。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具体产品 SUCCEEDED + available=true 后再取数；税务 ALL 固定为 V2、37 个节点。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明确选择 WORKER_RAW/ALL/STANDARD；原始文件下载携带 Key 并校验 SHA-256。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data_retention_days 按订单设置 7-365 天；分页、游标和分片保存检查点。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启用 HTML 时保护 accessUrl；启用 SM4 时先验签密文回调再解密。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新接入不要传 data_delivery_mode、tax_url、support_long_auth、need_verify_code 或旧模块筛选字段；直接在输出类型数组选择 WORKER_RAW。</w:t>
      </w:r>
    </w:p>
    <w:p>
      <w:pPr>
        <w:numPr>
          <w:ilvl w:val="0"/>
          <w:numId w:val="18"/>
        </w:numPr>
        <w:keepLines/>
        <w:spacing w:before="0" w:after="16" w:line="259" w:lineRule="auto"/>
      </w:pPr>
      <w:r>
        <w:rPr>
          <w:rFonts w:ascii="Calibri" w:hAnsi="Calibri" w:eastAsia="Microsoft YaHei" w:cs="Calibri"/>
          <w:color w:val="24324A"/>
          <w:sz w:val="17"/>
        </w:rPr>
        <w:t>联调覆盖成功、处理中、失败、重复回调、签名错误和链接过期。</w:t>
      </w:r>
    </w:p>
    <w:p>
      <w:pPr>
        <w:keepLines/>
        <w:spacing w:before="40" w:after="80" w:line="259" w:lineRule="auto"/>
        <w:ind w:left="144" w:right="86"/>
        <w:shd w:fill="EEF5FF" w:val="clear"/>
        <w:pBdr>
          <w:left w:val="single" w:sz="24" w:space="8" w:color="2E74B5"/>
        </w:pBdr>
      </w:pPr>
      <w:r>
        <w:rPr>
          <w:rFonts w:ascii="Calibri" w:hAnsi="Calibri" w:eastAsia="Microsoft YaHei" w:cs="Calibri"/>
          <w:b/>
          <w:color w:val="12233F"/>
          <w:sz w:val="17"/>
        </w:rPr>
        <w:t xml:space="preserve">配套交付物  </w:t>
      </w:r>
      <w:r>
        <w:rPr>
          <w:rFonts w:ascii="Calibri" w:hAnsi="Calibri" w:eastAsia="Microsoft YaHei" w:cs="Calibri"/>
          <w:color w:val="24324A"/>
          <w:sz w:val="17"/>
        </w:rPr>
        <w:t>本交付包包含同版本 openapi.yaml、字段与示例总表、HTML 在线报告接入示例和 SM4-GCM 解密示例；生产环境不开放 /docs 和 /openapi.json。</w:t>
      </w:r>
    </w:p>
    <w:p>
      <w:pPr>
        <w:spacing w:before="0" w:after="0" w:line="269" w:lineRule="auto"/>
      </w:pPr>
      <w:r>
        <w:rPr>
          <w:rFonts w:ascii="Calibri" w:hAnsi="Calibri" w:eastAsia="Microsoft YaHei" w:cs="Calibri"/>
          <w:color w:val="24324A"/>
          <w:sz w:val="17"/>
        </w:rPr>
        <w:t>联系技术支持请提供：环境、时间、external_order_id、authorization_code、job_id、attempt_id、HTTP/业务 code、event_id、artifact_id 或 exportId/partNo；不要发送完整 Key、Secret、税局密码或验证码。</w:t>
      </w:r>
    </w:p>
    <w:sectPr w:rsidR="00FC693F" w:rsidRPr="0006063C" w:rsidSect="00034616">
      <w:headerReference w:type="default" r:id="rId9"/>
      <w:footerReference w:type="default" r:id="rId10"/>
      <w:headerReference w:type="even" r:id="rId12"/>
      <w:headerReference w:type="first" r:id="rId13"/>
      <w:footerReference w:type="even" r:id="rId14"/>
      <w:footerReference w:type="first" r:id="rId15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>
      <w:rPr>
        <w:rFonts w:ascii="Calibri" w:hAnsi="Calibri" w:eastAsia="Microsoft YaHei" w:cs="Calibri"/>
        <w:color w:val="64748B"/>
        <w:sz w:val="16"/>
      </w:rPr>
      <w:t>客户接口文档 · 正式版 · 2026-08-23</w:t>
    </w:r>
    <w:r>
      <w:rPr>
        <w:rFonts w:ascii="Calibri" w:hAnsi="Calibri" w:eastAsia="Microsoft YaHei" w:cs="Calibri"/>
        <w:color w:val="64748B"/>
        <w:sz w:val="16"/>
      </w:rPr>
      <w:tab/>
      <w:t xml:space="preserve">第 </w:t>
    </w:r>
    <w:r>
      <w:rPr>
        <w:color w:val="64748B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 w:eastAsia="Microsoft YaHei" w:cs="Calibri"/>
        <w:color w:val="64748B"/>
        <w:sz w:val="16"/>
      </w:rPr>
      <w:t xml:space="preserve"> 页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>
      <w:rPr>
        <w:rFonts w:ascii="Calibri" w:hAnsi="Calibri" w:eastAsia="Microsoft YaHei" w:cs="Calibri"/>
        <w:color w:val="64748B"/>
        <w:sz w:val="16"/>
      </w:rPr>
      <w:t>客户接口文档 · 正式版 · 2026-08-23</w:t>
    </w:r>
    <w:r>
      <w:rPr>
        <w:rFonts w:ascii="Calibri" w:hAnsi="Calibri" w:eastAsia="Microsoft YaHei" w:cs="Calibri"/>
        <w:color w:val="64748B"/>
        <w:sz w:val="16"/>
      </w:rPr>
      <w:tab/>
      <w:t xml:space="preserve">第 </w:t>
    </w:r>
    <w:r>
      <w:rPr>
        <w:color w:val="64748B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 w:eastAsia="Microsoft YaHei" w:cs="Calibri"/>
        <w:color w:val="64748B"/>
        <w:sz w:val="16"/>
      </w:rPr>
      <w:t xml:space="preserve"> 页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>
      <w:rPr>
        <w:rFonts w:ascii="Calibri" w:hAnsi="Calibri" w:eastAsia="Microsoft YaHei" w:cs="Calibri"/>
        <w:color w:val="64748B"/>
        <w:sz w:val="16"/>
      </w:rPr>
      <w:t>客户接口文档 · 正式版 · 2026-08-23</w:t>
    </w:r>
    <w:r>
      <w:rPr>
        <w:rFonts w:ascii="Calibri" w:hAnsi="Calibri" w:eastAsia="Microsoft YaHei" w:cs="Calibri"/>
        <w:color w:val="64748B"/>
        <w:sz w:val="16"/>
      </w:rPr>
      <w:tab/>
      <w:t xml:space="preserve">第 </w:t>
    </w:r>
    <w:r>
      <w:rPr>
        <w:color w:val="64748B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 w:eastAsia="Microsoft YaHei" w:cs="Calibri"/>
        <w:color w:val="64748B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0" w:before="0"/>
    </w:pPr>
    <w:r>
      <w:rPr>
        <w:rFonts w:ascii="Calibri" w:hAnsi="Calibri" w:eastAsia="Microsoft YaHei" w:cs="Calibri"/>
        <w:b/>
        <w:color w:val="64748B"/>
        <w:sz w:val="17"/>
      </w:rPr>
      <w:t>税务发票数据开放平台 · 客户接口文档</w:t>
    </w:r>
    <w:r>
      <w:rPr>
        <w:rFonts w:ascii="Calibri" w:hAnsi="Calibri" w:eastAsia="Microsoft YaHei" w:cs="Calibri"/>
        <w:color w:val="64748B"/>
        <w:sz w:val="17"/>
      </w:rPr>
      <w:tab/>
      <w:t>适用平台 1.5.3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/>
    </w:pPr>
    <w:r>
      <w:rPr>
        <w:rFonts w:ascii="Calibri" w:hAnsi="Calibri" w:eastAsia="Microsoft YaHei" w:cs="Calibri"/>
        <w:b/>
        <w:color w:val="64748B"/>
        <w:sz w:val="17"/>
      </w:rPr>
      <w:t>税务发票数据开放平台 · 客户接口文档</w:t>
    </w:r>
    <w:r>
      <w:rPr>
        <w:rFonts w:ascii="Calibri" w:hAnsi="Calibri" w:eastAsia="Microsoft YaHei" w:cs="Calibri"/>
        <w:color w:val="64748B"/>
        <w:sz w:val="17"/>
      </w:rPr>
      <w:tab/>
      <w:t>适用平台 1.5.3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/>
    </w:pPr>
    <w:r>
      <w:rPr>
        <w:rFonts w:ascii="Calibri" w:hAnsi="Calibri" w:eastAsia="Microsoft YaHei" w:cs="Calibri"/>
        <w:b/>
        <w:color w:val="64748B"/>
        <w:sz w:val="17"/>
      </w:rPr>
      <w:t>税务发票数据开放平台 · 客户接口文档</w:t>
    </w:r>
    <w:r>
      <w:rPr>
        <w:rFonts w:ascii="Calibri" w:hAnsi="Calibri" w:eastAsia="Microsoft YaHei" w:cs="Calibri"/>
        <w:color w:val="64748B"/>
        <w:sz w:val="17"/>
      </w:rPr>
      <w:tab/>
      <w:t>适用平台 1.5.3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4">
    <w:abstractNumId w:val="13"/>
  </w:num>
  <w:abstractNum w:abstractNumId="14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7">
    <w:abstractNumId w:val="16"/>
  </w:num>
  <w:abstractNum w:abstractNumId="17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 w:cs="Calibri"/>
      <w:color w:val="24324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64" w:lineRule="auto"/>
      <w:outlineLvl w:val="0"/>
    </w:pPr>
    <w:rPr>
      <w:rFonts w:asciiTheme="majorHAnsi" w:eastAsiaTheme="majorEastAsia" w:hAnsiTheme="majorHAnsi" w:cstheme="majorBidi" w:ascii="Calibri" w:hAnsi="Calibri" w:eastAsia="Microsoft YaHei" w:cs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64" w:lineRule="auto"/>
      <w:outlineLvl w:val="1"/>
    </w:pPr>
    <w:rPr>
      <w:rFonts w:asciiTheme="majorHAnsi" w:eastAsiaTheme="majorEastAsia" w:hAnsiTheme="majorHAnsi" w:cstheme="majorBidi" w:ascii="Calibri" w:hAnsi="Calibri" w:eastAsia="Microsoft YaHei" w:cs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64" w:lineRule="auto"/>
      <w:outlineLvl w:val="2"/>
    </w:pPr>
    <w:rPr>
      <w:rFonts w:asciiTheme="majorHAnsi" w:eastAsiaTheme="majorEastAsia" w:hAnsiTheme="majorHAnsi" w:cstheme="majorBidi" w:ascii="Calibri" w:hAnsi="Calibri" w:eastAsia="Microsoft YaHei" w:cs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before="60" w:after="140" w:line="259" w:lineRule="auto"/>
      <w:ind w:left="173" w:right="173"/>
    </w:pPr>
    <w:rPr>
      <w:rFonts w:ascii="Consolas" w:hAnsi="Consolas" w:eastAsia="Microsoft YaHei" w:cs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税务发票数据开放平台客户接口文档（正式版）</dc:title>
  <dc:subject>授权、状态、回调、取数与错误恢复</dc:subject>
  <dc:creator>平台技术支持</dc:creator>
  <cp:keywords>税务, 发票, RPA, API, 客户接入</cp:keywords>
  <dc:description>正式客户接口文档，适用平台版本 1.5.3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